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Target Corporation</w:t>
      </w:r>
    </w:p>
    <w:p>
      <w:pPr>
        <w:spacing w:line="48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Student’s Name</w:t>
      </w:r>
    </w:p>
    <w:p>
      <w:pPr>
        <w:spacing w:line="48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Institution</w:t>
      </w: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 xml:space="preserve">Company profile </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Target corporation </w:t>
      </w:r>
      <w:r>
        <w:rPr>
          <w:rFonts w:hint="default" w:ascii="Times New Roman" w:hAnsi="Times New Roman" w:cs="Times New Roman"/>
          <w:color w:val="000000" w:themeColor="text1"/>
          <w:sz w:val="24"/>
          <w:szCs w:val="24"/>
          <w:lang w:val="en-US"/>
          <w14:textFill>
            <w14:solidFill>
              <w14:schemeClr w14:val="tx1"/>
            </w14:solidFill>
          </w14:textFill>
        </w:rPr>
        <w:t xml:space="preserve">is a </w:t>
      </w:r>
      <w:r>
        <w:rPr>
          <w:rFonts w:hint="default" w:ascii="Times New Roman" w:hAnsi="Times New Roman" w:cs="Times New Roman"/>
          <w:color w:val="000000" w:themeColor="text1"/>
          <w:sz w:val="24"/>
          <w:szCs w:val="24"/>
          <w14:textFill>
            <w14:solidFill>
              <w14:schemeClr w14:val="tx1"/>
            </w14:solidFill>
          </w14:textFill>
        </w:rPr>
        <w:t xml:space="preserve">popular American chain that specializes in offering retail goods and services. Target commitment to providing particular products which cannot easily be found in other supermarkets. The company through its branches all over prides itself on its private label products that are of high quality. The private product labels contribute to about 70 percent of the products. The values that the company offers to their esteemed customers include unique taste, quality as well as private labeling and price. </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It is the second largest store retailer in the United States employing over 345,000 employees. The success of Target can be attributed to the business model on which unique products are offered at a relatively average price. It makes luxury to be affordable to all the reason why many customers flock into the supermarket to purchase its affordable products. The growth strategy of the company is offering a differentiated shopping experience to the consumer who are mostly college educated, who in most cases value quality which is a good deal for them. The company prides itself in being able to create a customer experience which is unsurpassed by its competitors in the market. The company often makes it easier for its customers to purchase various varieties of items without having too much regarding diversity because such could result in shopping paralysis. </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The company prides itself on its core values. Firstly, the company believes in treating its customers with respect and faith. The tremendous growth has been enhanced through the power of creativity and innovation. Additionally, the company values honesty in delivering its good and services. More important is the value of integrity coupled with business ethics in all the areas of its operations. There are setting goals for the company which helps it to remain focused. One of the goals is to </w:t>
      </w:r>
      <w:r>
        <w:rPr>
          <w:rFonts w:hint="default" w:ascii="Times New Roman" w:hAnsi="Times New Roman" w:cs="Times New Roman"/>
          <w:color w:val="000000" w:themeColor="text1"/>
          <w:sz w:val="24"/>
          <w:szCs w:val="24"/>
          <w:lang w:val="en-US"/>
          <w14:textFill>
            <w14:solidFill>
              <w14:schemeClr w14:val="tx1"/>
            </w14:solidFill>
          </w14:textFill>
        </w:rPr>
        <w:t>international expansion</w:t>
      </w:r>
      <w:r>
        <w:rPr>
          <w:rFonts w:hint="default" w:ascii="Times New Roman" w:hAnsi="Times New Roman" w:cs="Times New Roman"/>
          <w:color w:val="000000" w:themeColor="text1"/>
          <w:sz w:val="24"/>
          <w:szCs w:val="24"/>
          <w14:textFill>
            <w14:solidFill>
              <w14:schemeClr w14:val="tx1"/>
            </w14:solidFill>
          </w14:textFill>
        </w:rPr>
        <w:t xml:space="preserve">. Regarding this, the company has continuously researched the diverse world markets to find a viable market that can meet its purpose. Moreover, the organization has a target to increase the net worth of the company. </w:t>
      </w:r>
    </w:p>
    <w:p>
      <w:pPr>
        <w:spacing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Country profile</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United States dominates the retailing sector in the world. Out of the top 20 largest retailers worldwide, the United States had nine retail chains. The retail industry is not only the largest in the U.S but also most of the retails that were founded in the U.S are rapidly expanding in various parts of the world. This makes the industry to be more, visible, dominant as well as prevalent.</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country has been able to establish some of the best distribution channels that favor all types of retail business. The industry thus provides a very close and competitive environment which brings about innovation hence increasing both dependability and efficiency.  According to the research that was conducted in the year 2016</w:t>
      </w:r>
      <w:r>
        <w:rPr>
          <w:rFonts w:hint="default" w:ascii="Times New Roman" w:hAnsi="Times New Roman" w:cs="Times New Roman"/>
          <w:color w:val="000000" w:themeColor="text1"/>
          <w:sz w:val="24"/>
          <w:szCs w:val="24"/>
          <w:lang w:val="en-US"/>
          <w14:textFill>
            <w14:solidFill>
              <w14:schemeClr w14:val="tx1"/>
            </w14:solidFill>
          </w14:textFill>
        </w:rPr>
        <w:t xml:space="preserve"> by </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Deneckere</w:t>
      </w:r>
      <w:r>
        <w:rPr>
          <w:rFonts w:hint="default" w:ascii="Times New Roman" w:hAnsi="Times New Roman" w:cs="Times New Roman"/>
          <w:color w:val="000000" w:themeColor="text1"/>
          <w:sz w:val="24"/>
          <w:szCs w:val="24"/>
          <w14:textFill>
            <w14:solidFill>
              <w14:schemeClr w14:val="tx1"/>
            </w14:solidFill>
          </w14:textFill>
        </w:rPr>
        <w:t>, the total sales made by the 3.8 million retail entities was estimated to be $2.6 trillion. The retail industry alone has given job opportunities to over 42 million people in the United States. According to the research and survey</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done by the National Retail Federation, the retail industry is estimated to increase by 3.4 percent. The e-commerce will grow much more by 7-10 percent. Therefore, there are very many opportunities that exist in the retail sector. </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Competition for the retail industry in the U.S is stiff as different multinational companies are into the retail sector.  Incentives in the U.S economy are significant. In this market, there are Research and development tax incentives. Following such an incentive, companies invest in innovation to benefit from reduced cost. Innovation leads to products that are more advanced and user-friendly. New companies find it easy to enter the market. As more and more companies, enter the market, the revenue earned reduces leading to exit from the market by some firms. However, the Research and development tax incentive is critical for the Poland retail sector.</w:t>
      </w:r>
    </w:p>
    <w:p>
      <w:pPr>
        <w:spacing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Reasons for going International</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International expansion is a strategic decision. The decision to expand in a foreign market is effective for a company. Target has substantial reasons for international expansion. The primary reason is to expand its customer base. Poland will offer a new market for the computers. Increased sales enhance the operations of a company through increased sales. A more extensive market promotes economies of scale which will help the company to cut on cost.</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Going international will help to reduce risks. Operating in a single market is risky. A global market is appropriate in diversifying risks. It helps to reduce the effect of the unforeseen events like economic down times. A country may experience political upheavals that which are unfavorable for businesses. During such times, consumers do not spend as the demand for goods and services reduces. In this case, the foreign market helps to cover up the loss during the recession.</w:t>
      </w:r>
    </w:p>
    <w:p>
      <w:pPr>
        <w:spacing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The rationale for Choosing Poland</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Poland has a great business outlook. It has been ranked as an attractive emerging market (Nurczyk, 2018). The rate of economic growth and yield in this country is high. Compared to the dollar, Poland has a competitive exchange rate. What makes the state more attractive is that it has a stable political environment.  It means that this country has a high demand for the retail goods and services. With the growing economy, imports are expected to increase. Also, Poland is attractive for its low level of competition regarding technology. Therefore, Poland is appealing for international expansion.</w:t>
      </w: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Entry Strategy</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chosen entry strategy is exporting goods and services from its major stores in the United States. Exporting is the sale of a good outside the country. An export strategy is divided into two parts. There are the indirect export strategy and the direct export strategy (8 Strategies to Enter a New Market, 2015). Both are critical in penetrating an international market. Direct exporting allows one to sell goods and services in the market of interest. In this case, there is a direct commitment to sell goods in that country.</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On the other hand, indirect exporting strategy involves selling the product to an intermediary. In turn, the intermediary may directly sell the goods to customers or sell it to wholesalers who then sell it to the customers Target prefers to use the direct entry strategy for the following reasons.</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Direct exporting strategy from its large stores in the U.S helps to avoid the cost of a middleman. When using the middlemen, the price of the goods is sold to them at a reduced price. It reduces the profits made from the sale of the products. Again, the middlemen may confuse. Some of them end up selling the goods at a different price other than the one the company has established. It is detrimental to a company that fights to enter into the international market since consumers feel exploited. Price asymmetry for the same product that sells in different markets may raise concern. Dealing with the consumers directly may help to avoid such issues. Hence, direct entry strategy helps to eliminate the middlemen.</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It helps to have control over the products. Selling through direct strategy helps to have control of the different aspects of the goods. The company can monitor the market behavior towards good and services offered. It is helpful since one can be in a position to develop effective marketing strategies. The reason for this is that a company can get feedback from the customers concerning the goods. For example, if the customers feel that the good is poor quality, necessary research to develop the product can be made. Therefore, direct entry strategy strengthens control over the product. </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Direct entry strategy protects a company. Trademarks are an essential aspect of an organization. Using another company’s name is unlawful. One company is entitled to a legal name of which no other company can register under that name. Some companies become mischievous and may want to use other companies name as their own to establish their brand. Direct exporting helps to protect the brand name</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Arntzen</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 xml:space="preserve"> </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&amp; Trafton, </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2007</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Also, there are patents and copyrights which protect a company’s idea. A company that directly deals with its customers better protects itself compared to a company that sells through intermediaries. Thus, direct entry strategy helps to increase the level of protection. </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Another benefit of direct entry strategy is that it is flexible. It means that a company may retreat without causing a significant cost. Unlike other methods, if a company decides to exit the international market, the cost involves minimal. For example, if a company realizes that it is not performing in the overseas as expected, it may decide to stop exporting at once. In the other methods, when a company decides to stop operating in the international market, it may take some time which increases costs. Therefore, direct entry strategy offers maximum benefit for Target. It is the optimal strategy that the company can employ to a strategically set foothold in Poland.</w:t>
      </w:r>
    </w:p>
    <w:p>
      <w:pPr>
        <w:spacing w:line="480" w:lineRule="auto"/>
        <w:ind w:firstLine="7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In conclusion, with a lower variety, the company can be able to control its quality of products in a much more effective way as opposed to when it could have more options. Their product line products that are similar to any other supermarket but in this case, it is privately labeled under the Target brand.  The company also goes a notch higher in looking for other interesting foods which can be added to the stores of the supermarket. The brand does not follow the trends, but rather it sets its trends. Regarding distribution, the company does not buy from retailers but rather purchase directly from the manufacturers. It then ships the products purchased to the distribution centers of the company. </w:t>
      </w: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References</w:t>
      </w: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Nurczyk, E. (2018). More and more foreigners do business in Poland. Retrieved from </w:t>
      </w:r>
      <w:r>
        <w:rPr>
          <w:rFonts w:hint="default" w:ascii="Times New Roman" w:hAnsi="Times New Roman" w:cs="Times New Roman"/>
          <w:color w:val="000000" w:themeColor="text1"/>
          <w:sz w:val="24"/>
          <w:szCs w:val="24"/>
          <w:lang w:val="en-US"/>
          <w14:textFill>
            <w14:solidFill>
              <w14:schemeClr w14:val="tx1"/>
            </w14:solidFill>
          </w14:textFill>
        </w:rPr>
        <w:tab/>
      </w:r>
      <w:r>
        <w:rPr>
          <w:rFonts w:hint="default" w:ascii="Times New Roman" w:hAnsi="Times New Roman" w:cs="Times New Roman"/>
          <w:color w:val="000000" w:themeColor="text1"/>
          <w:sz w:val="24"/>
          <w:szCs w:val="24"/>
          <w:u w:val="none"/>
          <w14:textFill>
            <w14:solidFill>
              <w14:schemeClr w14:val="tx1"/>
            </w14:solidFill>
          </w14:textFill>
        </w:rPr>
        <w:fldChar w:fldCharType="begin"/>
      </w:r>
      <w:r>
        <w:rPr>
          <w:rFonts w:hint="default" w:ascii="Times New Roman" w:hAnsi="Times New Roman" w:cs="Times New Roman"/>
          <w:color w:val="000000" w:themeColor="text1"/>
          <w:sz w:val="24"/>
          <w:szCs w:val="24"/>
          <w:u w:val="none"/>
          <w14:textFill>
            <w14:solidFill>
              <w14:schemeClr w14:val="tx1"/>
            </w14:solidFill>
          </w14:textFill>
        </w:rPr>
        <w:instrText xml:space="preserve"> HYPERLINK "https://www.careersinpoland.com/article/news/more-and-more-foreigners-do-business-in-" </w:instrText>
      </w:r>
      <w:r>
        <w:rPr>
          <w:rFonts w:hint="default" w:ascii="Times New Roman" w:hAnsi="Times New Roman" w:cs="Times New Roman"/>
          <w:color w:val="000000" w:themeColor="text1"/>
          <w:sz w:val="24"/>
          <w:szCs w:val="24"/>
          <w:u w:val="none"/>
          <w14:textFill>
            <w14:solidFill>
              <w14:schemeClr w14:val="tx1"/>
            </w14:solidFill>
          </w14:textFill>
        </w:rPr>
        <w:fldChar w:fldCharType="separate"/>
      </w:r>
      <w:r>
        <w:rPr>
          <w:rStyle w:val="6"/>
          <w:rFonts w:hint="default" w:ascii="Times New Roman" w:hAnsi="Times New Roman" w:cs="Times New Roman"/>
          <w:color w:val="000000" w:themeColor="text1"/>
          <w:sz w:val="24"/>
          <w:szCs w:val="24"/>
          <w:u w:val="none"/>
          <w14:textFill>
            <w14:solidFill>
              <w14:schemeClr w14:val="tx1"/>
            </w14:solidFill>
          </w14:textFill>
        </w:rPr>
        <w:t>https://www.careersinpoland.com/article/news/more-and-more-foreigners-do-business-in-</w:t>
      </w:r>
      <w:r>
        <w:rPr>
          <w:rFonts w:hint="default" w:ascii="Times New Roman" w:hAnsi="Times New Roman" w:cs="Times New Roman"/>
          <w:color w:val="000000" w:themeColor="text1"/>
          <w:sz w:val="24"/>
          <w:szCs w:val="24"/>
          <w:u w:val="none"/>
          <w14:textFill>
            <w14:solidFill>
              <w14:schemeClr w14:val="tx1"/>
            </w14:solidFill>
          </w14:textFill>
        </w:rPr>
        <w:fldChar w:fldCharType="end"/>
      </w:r>
      <w:r>
        <w:rPr>
          <w:rFonts w:hint="default" w:ascii="Times New Roman" w:hAnsi="Times New Roman" w:cs="Times New Roman"/>
          <w:color w:val="000000" w:themeColor="text1"/>
          <w:sz w:val="24"/>
          <w:szCs w:val="24"/>
          <w:u w:val="none"/>
          <w:lang w:val="en-US"/>
          <w14:textFill>
            <w14:solidFill>
              <w14:schemeClr w14:val="tx1"/>
            </w14:solidFill>
          </w14:textFill>
        </w:rPr>
        <w:tab/>
      </w:r>
      <w:r>
        <w:rPr>
          <w:rFonts w:hint="default" w:ascii="Times New Roman" w:hAnsi="Times New Roman" w:cs="Times New Roman"/>
          <w:color w:val="000000" w:themeColor="text1"/>
          <w:sz w:val="24"/>
          <w:szCs w:val="24"/>
          <w:u w:val="none"/>
          <w14:textFill>
            <w14:solidFill>
              <w14:schemeClr w14:val="tx1"/>
            </w14:solidFill>
          </w14:textFill>
        </w:rPr>
        <w:t>poland</w:t>
      </w:r>
    </w:p>
    <w:p>
      <w:pPr>
        <w:spacing w:line="480" w:lineRule="auto"/>
        <w:rPr>
          <w:rFonts w:hint="default" w:ascii="Times New Roman" w:hAnsi="Times New Roman" w:cs="Times New Roman"/>
          <w:color w:val="000000" w:themeColor="text1"/>
          <w:sz w:val="24"/>
          <w:szCs w:val="24"/>
          <w:u w:val="none"/>
          <w14:textFill>
            <w14:solidFill>
              <w14:schemeClr w14:val="tx1"/>
            </w14:solidFill>
          </w14:textFill>
        </w:rPr>
      </w:pPr>
      <w:r>
        <w:rPr>
          <w:rFonts w:hint="default" w:ascii="Times New Roman" w:hAnsi="Times New Roman" w:cs="Times New Roman"/>
          <w:color w:val="000000" w:themeColor="text1"/>
          <w:sz w:val="24"/>
          <w:szCs w:val="24"/>
          <w:u w:val="none"/>
          <w14:textFill>
            <w14:solidFill>
              <w14:schemeClr w14:val="tx1"/>
            </w14:solidFill>
          </w14:textFill>
        </w:rPr>
        <w:t xml:space="preserve">8 Strategies to Enter a New Foreign Market. (2015, October 14). Retrieved from </w:t>
      </w:r>
      <w:r>
        <w:rPr>
          <w:rFonts w:hint="default" w:ascii="Times New Roman" w:hAnsi="Times New Roman" w:cs="Times New Roman"/>
          <w:color w:val="000000" w:themeColor="text1"/>
          <w:sz w:val="24"/>
          <w:szCs w:val="24"/>
          <w:u w:val="none"/>
          <w:lang w:val="en-US"/>
          <w14:textFill>
            <w14:solidFill>
              <w14:schemeClr w14:val="tx1"/>
            </w14:solidFill>
          </w14:textFill>
        </w:rPr>
        <w:tab/>
        <w:t/>
      </w:r>
      <w:r>
        <w:rPr>
          <w:rFonts w:hint="default" w:ascii="Times New Roman" w:hAnsi="Times New Roman" w:cs="Times New Roman"/>
          <w:color w:val="000000" w:themeColor="text1"/>
          <w:sz w:val="24"/>
          <w:szCs w:val="24"/>
          <w:u w:val="none"/>
          <w:lang w:val="en-US"/>
          <w14:textFill>
            <w14:solidFill>
              <w14:schemeClr w14:val="tx1"/>
            </w14:solidFill>
          </w14:textFill>
        </w:rPr>
        <w:tab/>
      </w:r>
      <w:r>
        <w:rPr>
          <w:rFonts w:hint="default" w:ascii="Times New Roman" w:hAnsi="Times New Roman" w:cs="Times New Roman"/>
          <w:color w:val="000000" w:themeColor="text1"/>
          <w:sz w:val="24"/>
          <w:szCs w:val="24"/>
          <w:u w:val="none"/>
          <w14:textFill>
            <w14:solidFill>
              <w14:schemeClr w14:val="tx1"/>
            </w14:solidFill>
          </w14:textFill>
        </w:rPr>
        <w:fldChar w:fldCharType="begin"/>
      </w:r>
      <w:r>
        <w:rPr>
          <w:rFonts w:hint="default" w:ascii="Times New Roman" w:hAnsi="Times New Roman" w:cs="Times New Roman"/>
          <w:color w:val="000000" w:themeColor="text1"/>
          <w:sz w:val="24"/>
          <w:szCs w:val="24"/>
          <w:u w:val="none"/>
          <w14:textFill>
            <w14:solidFill>
              <w14:schemeClr w14:val="tx1"/>
            </w14:solidFill>
          </w14:textFill>
        </w:rPr>
        <w:instrText xml:space="preserve"> HYPERLINK "https://www.bubblestranslation.com/8-strategies-to-enter-a-new-foreign-market/" </w:instrText>
      </w:r>
      <w:r>
        <w:rPr>
          <w:rFonts w:hint="default" w:ascii="Times New Roman" w:hAnsi="Times New Roman" w:cs="Times New Roman"/>
          <w:color w:val="000000" w:themeColor="text1"/>
          <w:sz w:val="24"/>
          <w:szCs w:val="24"/>
          <w:u w:val="none"/>
          <w14:textFill>
            <w14:solidFill>
              <w14:schemeClr w14:val="tx1"/>
            </w14:solidFill>
          </w14:textFill>
        </w:rPr>
        <w:fldChar w:fldCharType="separate"/>
      </w:r>
      <w:r>
        <w:rPr>
          <w:rStyle w:val="6"/>
          <w:rFonts w:hint="default" w:ascii="Times New Roman" w:hAnsi="Times New Roman" w:cs="Times New Roman"/>
          <w:color w:val="000000" w:themeColor="text1"/>
          <w:sz w:val="24"/>
          <w:szCs w:val="24"/>
          <w:u w:val="none"/>
          <w14:textFill>
            <w14:solidFill>
              <w14:schemeClr w14:val="tx1"/>
            </w14:solidFill>
          </w14:textFill>
        </w:rPr>
        <w:t>https://www.bubblestranslation.com/8-strategies-to-enter-a-new-foreign-market/</w:t>
      </w:r>
      <w:r>
        <w:rPr>
          <w:rFonts w:hint="default" w:ascii="Times New Roman" w:hAnsi="Times New Roman" w:cs="Times New Roman"/>
          <w:color w:val="000000" w:themeColor="text1"/>
          <w:sz w:val="24"/>
          <w:szCs w:val="24"/>
          <w:u w:val="none"/>
          <w14:textFill>
            <w14:solidFill>
              <w14:schemeClr w14:val="tx1"/>
            </w14:solidFill>
          </w14:textFill>
        </w:rPr>
        <w:fldChar w:fldCharType="end"/>
      </w:r>
    </w:p>
    <w:p>
      <w:pPr>
        <w:spacing w:line="48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Arntzen, B. C., Brown, G. G., Harrison, T. P., &amp; Trafton, L. L. (</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2007</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w:t>
      </w:r>
      <w:bookmarkStart w:id="0" w:name="_GoBack"/>
      <w:bookmarkEnd w:id="0"/>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 Global supply chain </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ab/>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management at Digital Equipment Corporation.</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w:t>
      </w:r>
      <w:r>
        <w:rPr>
          <w:rFonts w:hint="default" w:ascii="Times New Roman" w:hAnsi="Times New Roman" w:eastAsia="SimSun" w:cs="Times New Roman"/>
          <w:i/>
          <w:caps w:val="0"/>
          <w:color w:val="000000" w:themeColor="text1"/>
          <w:spacing w:val="0"/>
          <w:sz w:val="24"/>
          <w:szCs w:val="24"/>
          <w:shd w:val="clear" w:fill="FFFFFF"/>
          <w14:textFill>
            <w14:solidFill>
              <w14:schemeClr w14:val="tx1"/>
            </w14:solidFill>
          </w14:textFill>
        </w:rPr>
        <w:t>Interfaces</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w:t>
      </w:r>
      <w:r>
        <w:rPr>
          <w:rFonts w:hint="default" w:ascii="Times New Roman" w:hAnsi="Times New Roman" w:eastAsia="SimSun" w:cs="Times New Roman"/>
          <w:i/>
          <w:caps w:val="0"/>
          <w:color w:val="000000" w:themeColor="text1"/>
          <w:spacing w:val="0"/>
          <w:sz w:val="24"/>
          <w:szCs w:val="24"/>
          <w:shd w:val="clear" w:fill="FFFFFF"/>
          <w14:textFill>
            <w14:solidFill>
              <w14:schemeClr w14:val="tx1"/>
            </w14:solidFill>
          </w14:textFill>
        </w:rPr>
        <w:t>25</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(1), 69-93.</w:t>
      </w:r>
    </w:p>
    <w:p>
      <w:pPr>
        <w:spacing w:line="48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Deneckere, R., &amp; Peck, J. (201</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6</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xml:space="preserve">). Dynamic competition with random demand and costless </w:t>
      </w:r>
      <w:r>
        <w:rPr>
          <w:rFonts w:hint="default" w:ascii="Times New Roman" w:hAnsi="Times New Roman" w:eastAsia="SimSun" w:cs="Times New Roman"/>
          <w:i w:val="0"/>
          <w:caps w:val="0"/>
          <w:color w:val="000000" w:themeColor="text1"/>
          <w:spacing w:val="0"/>
          <w:sz w:val="24"/>
          <w:szCs w:val="24"/>
          <w:shd w:val="clear" w:fill="FFFFFF"/>
          <w:lang w:val="en-US"/>
          <w14:textFill>
            <w14:solidFill>
              <w14:schemeClr w14:val="tx1"/>
            </w14:solidFill>
          </w14:textFill>
        </w:rPr>
        <w:tab/>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search: A theory of price posting.</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w:t>
      </w:r>
      <w:r>
        <w:rPr>
          <w:rFonts w:hint="default" w:ascii="Times New Roman" w:hAnsi="Times New Roman" w:eastAsia="SimSun" w:cs="Times New Roman"/>
          <w:i/>
          <w:caps w:val="0"/>
          <w:color w:val="000000" w:themeColor="text1"/>
          <w:spacing w:val="0"/>
          <w:sz w:val="24"/>
          <w:szCs w:val="24"/>
          <w:shd w:val="clear" w:fill="FFFFFF"/>
          <w14:textFill>
            <w14:solidFill>
              <w14:schemeClr w14:val="tx1"/>
            </w14:solidFill>
          </w14:textFill>
        </w:rPr>
        <w:t>Econometrica</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 </w:t>
      </w:r>
      <w:r>
        <w:rPr>
          <w:rFonts w:hint="default" w:ascii="Times New Roman" w:hAnsi="Times New Roman" w:eastAsia="SimSun" w:cs="Times New Roman"/>
          <w:i/>
          <w:caps w:val="0"/>
          <w:color w:val="000000" w:themeColor="text1"/>
          <w:spacing w:val="0"/>
          <w:sz w:val="24"/>
          <w:szCs w:val="24"/>
          <w:shd w:val="clear" w:fill="FFFFFF"/>
          <w14:textFill>
            <w14:solidFill>
              <w14:schemeClr w14:val="tx1"/>
            </w14:solidFill>
          </w14:textFill>
        </w:rPr>
        <w:t>80</w:t>
      </w:r>
      <w:r>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t>(3), 1185-1247.</w:t>
      </w:r>
    </w:p>
    <w:p>
      <w:pPr>
        <w:spacing w:line="480" w:lineRule="auto"/>
        <w:rPr>
          <w:rFonts w:hint="default" w:ascii="Times New Roman" w:hAnsi="Times New Roman" w:eastAsia="SimSun" w:cs="Times New Roman"/>
          <w:i w:val="0"/>
          <w:caps w:val="0"/>
          <w:color w:val="000000" w:themeColor="text1"/>
          <w:spacing w:val="0"/>
          <w:sz w:val="24"/>
          <w:szCs w:val="24"/>
          <w:shd w:val="clear" w:fill="FFFFFF"/>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sectPr>
      <w:headerReference r:id="rId4" w:type="first"/>
      <w:headerReference r:id="rId3" w:type="default"/>
      <w:pgSz w:w="12240" w:h="15840"/>
      <w:pgMar w:top="1440" w:right="1440" w:bottom="1440" w:left="144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variable"/>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SimSun">
    <w:altName w:val="Times New Roman"/>
    <w:panose1 w:val="02010600030101010101"/>
    <w:charset w:val="86"/>
    <w:family w:val="roman"/>
    <w:pitch w:val="variable"/>
    <w:sig w:usb0="00000003" w:usb1="288F0000" w:usb2="00000016" w:usb3="00000000" w:csb0="00040001" w:csb1="00000000"/>
  </w:font>
  <w:font w:name="Georgia">
    <w:panose1 w:val="02040502050405020303"/>
    <w:charset w:val="00"/>
    <w:family w:val="auto"/>
    <w:pitch w:val="default"/>
    <w:sig w:usb0="00000287" w:usb1="00000000" w:usb2="00000000" w:usb3="00000000" w:csb0="200000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imsun">
    <w:altName w:val="Segoe Print"/>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sz w:val="24"/>
        <w:szCs w:val="24"/>
      </w:rPr>
      <w:id w:val="892317432"/>
      <w:docPartObj>
        <w:docPartGallery w:val="autotext"/>
      </w:docPartObj>
    </w:sdtPr>
    <w:sdtEndPr>
      <w:rPr>
        <w:rFonts w:ascii="Times New Roman" w:hAnsi="Times New Roman" w:cs="Times New Roman"/>
        <w:sz w:val="24"/>
        <w:szCs w:val="24"/>
      </w:rPr>
    </w:sdtEndPr>
    <w:sdtContent>
      <w:p>
        <w:pPr>
          <w:pStyle w:val="3"/>
          <w:spacing w:line="480" w:lineRule="auto"/>
          <w:jc w:val="right"/>
          <w:rPr>
            <w:rFonts w:ascii="Times New Roman" w:hAnsi="Times New Roman" w:cs="Times New Roman"/>
            <w:sz w:val="24"/>
            <w:szCs w:val="24"/>
          </w:rPr>
        </w:pPr>
        <w:r>
          <w:rPr>
            <w:rFonts w:hint="default" w:ascii="Times New Roman" w:hAnsi="Times New Roman" w:cs="Times New Roman"/>
            <w:sz w:val="24"/>
            <w:szCs w:val="24"/>
            <w:lang w:val="en-US"/>
          </w:rPr>
          <w:t xml:space="preserve">TARGET        </w:t>
        </w:r>
        <w:r>
          <w:rPr>
            <w:rFonts w:hint="default"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p>
    </w:sdtContent>
  </w:sdt>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Times New Roman" w:hAnsi="Times New Roman" w:cs="Times New Roman"/>
        <w:sz w:val="24"/>
        <w:szCs w:val="24"/>
      </w:rPr>
    </w:pPr>
    <w:r>
      <w:rPr>
        <w:rFonts w:ascii="Times New Roman" w:hAnsi="Times New Roman" w:cs="Times New Roman"/>
        <w:sz w:val="24"/>
        <w:szCs w:val="24"/>
        <w:lang w:val="en-US"/>
      </w:rPr>
      <w:t xml:space="preserve">TARGET                       </w:t>
    </w:r>
    <w:sdt>
      <w:sdtPr>
        <w:rPr>
          <w:rFonts w:ascii="Times New Roman" w:hAnsi="Times New Roman" w:cs="Times New Roman"/>
          <w:sz w:val="24"/>
          <w:szCs w:val="24"/>
        </w:rPr>
        <w:id w:val="73320243"/>
        <w:docPartObj>
          <w:docPartGallery w:val="autotext"/>
        </w:docPartObj>
      </w:sdtPr>
      <w:sdtEndPr>
        <w:rPr>
          <w:rFonts w:ascii="Times New Roman" w:hAnsi="Times New Roman" w:cs="Times New Roman"/>
          <w:sz w:val="24"/>
          <w:szCs w:val="24"/>
        </w:rPr>
      </w:sdtEndPr>
      <w:sdtContent>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sdtContent>
    </w:sdt>
  </w:p>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A0szQwt7QwtzC1tDRX0lEKTi0uzszPAykwrgUAjTKO0ywAAAA="/>
  </w:docVars>
  <w:rsids>
    <w:rsidRoot w:val="00082CB3"/>
    <w:rsid w:val="000345EC"/>
    <w:rsid w:val="0005244A"/>
    <w:rsid w:val="00056CC3"/>
    <w:rsid w:val="00082CB3"/>
    <w:rsid w:val="000A53CD"/>
    <w:rsid w:val="000A7EBF"/>
    <w:rsid w:val="000E65ED"/>
    <w:rsid w:val="00183FE0"/>
    <w:rsid w:val="001A60EB"/>
    <w:rsid w:val="002D0E29"/>
    <w:rsid w:val="00315B07"/>
    <w:rsid w:val="003A48F1"/>
    <w:rsid w:val="003C6552"/>
    <w:rsid w:val="00463627"/>
    <w:rsid w:val="00481018"/>
    <w:rsid w:val="004E6E5C"/>
    <w:rsid w:val="00507C57"/>
    <w:rsid w:val="00517DD3"/>
    <w:rsid w:val="005376D7"/>
    <w:rsid w:val="005A445F"/>
    <w:rsid w:val="005C3EC4"/>
    <w:rsid w:val="005D5C57"/>
    <w:rsid w:val="006C602B"/>
    <w:rsid w:val="00722677"/>
    <w:rsid w:val="007510ED"/>
    <w:rsid w:val="00796205"/>
    <w:rsid w:val="0093032B"/>
    <w:rsid w:val="009C11C4"/>
    <w:rsid w:val="00A6758F"/>
    <w:rsid w:val="00B1130B"/>
    <w:rsid w:val="00B6445A"/>
    <w:rsid w:val="00B82CB8"/>
    <w:rsid w:val="00CD4DE9"/>
    <w:rsid w:val="00D46E75"/>
    <w:rsid w:val="00DA2764"/>
    <w:rsid w:val="00DE63F2"/>
    <w:rsid w:val="00DF7723"/>
    <w:rsid w:val="00E14A18"/>
    <w:rsid w:val="00F0495D"/>
    <w:rsid w:val="00F359E0"/>
    <w:rsid w:val="00F843B0"/>
    <w:rsid w:val="01AE14C3"/>
    <w:rsid w:val="04866C62"/>
    <w:rsid w:val="051479CB"/>
    <w:rsid w:val="065A0132"/>
    <w:rsid w:val="077B2D69"/>
    <w:rsid w:val="07B850FF"/>
    <w:rsid w:val="0EF666B4"/>
    <w:rsid w:val="0F822617"/>
    <w:rsid w:val="118E448C"/>
    <w:rsid w:val="11E86B9C"/>
    <w:rsid w:val="11FE42F3"/>
    <w:rsid w:val="12AB5A89"/>
    <w:rsid w:val="17102513"/>
    <w:rsid w:val="176213F3"/>
    <w:rsid w:val="1CC13F63"/>
    <w:rsid w:val="1D725E66"/>
    <w:rsid w:val="1F852F13"/>
    <w:rsid w:val="24D02DED"/>
    <w:rsid w:val="25480471"/>
    <w:rsid w:val="28BD45BB"/>
    <w:rsid w:val="29976E99"/>
    <w:rsid w:val="2B6314EF"/>
    <w:rsid w:val="2BD10C49"/>
    <w:rsid w:val="2FEB79D7"/>
    <w:rsid w:val="32125324"/>
    <w:rsid w:val="3254660C"/>
    <w:rsid w:val="37210460"/>
    <w:rsid w:val="390367F7"/>
    <w:rsid w:val="3B115408"/>
    <w:rsid w:val="3F88383F"/>
    <w:rsid w:val="43CC4B30"/>
    <w:rsid w:val="47C9328A"/>
    <w:rsid w:val="495914B8"/>
    <w:rsid w:val="4EA06C60"/>
    <w:rsid w:val="4EA451AE"/>
    <w:rsid w:val="50F53630"/>
    <w:rsid w:val="52E07CE9"/>
    <w:rsid w:val="55513D45"/>
    <w:rsid w:val="595D25E2"/>
    <w:rsid w:val="596911DF"/>
    <w:rsid w:val="5D4263F3"/>
    <w:rsid w:val="5F4C5FF1"/>
    <w:rsid w:val="600956F9"/>
    <w:rsid w:val="607448C2"/>
    <w:rsid w:val="635263A5"/>
    <w:rsid w:val="635E0B1B"/>
    <w:rsid w:val="670F4D70"/>
    <w:rsid w:val="680E380B"/>
    <w:rsid w:val="6A1712BF"/>
    <w:rsid w:val="6CB73582"/>
    <w:rsid w:val="6CBF2CAF"/>
    <w:rsid w:val="6D9806D5"/>
    <w:rsid w:val="6F0F4699"/>
    <w:rsid w:val="741019BF"/>
    <w:rsid w:val="779129A4"/>
    <w:rsid w:val="77D40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5">
    <w:name w:val="Default Paragraph Font"/>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9"/>
    <w:unhideWhenUsed/>
    <w:uiPriority w:val="99"/>
    <w:pPr>
      <w:tabs>
        <w:tab w:val="center" w:pos="4680"/>
        <w:tab w:val="right" w:pos="9360"/>
      </w:tabs>
      <w:spacing w:after="0" w:line="240" w:lineRule="auto"/>
    </w:pPr>
  </w:style>
  <w:style w:type="paragraph" w:styleId="3">
    <w:name w:val="header"/>
    <w:basedOn w:val="1"/>
    <w:link w:val="8"/>
    <w:unhideWhenUsed/>
    <w:uiPriority w:val="99"/>
    <w:pPr>
      <w:tabs>
        <w:tab w:val="center" w:pos="4680"/>
        <w:tab w:val="right" w:pos="9360"/>
      </w:tabs>
      <w:spacing w:after="0" w:line="240" w:lineRule="auto"/>
    </w:pPr>
  </w:style>
  <w:style w:type="paragraph" w:styleId="4">
    <w:name w:val="Normal (Web)"/>
    <w:semiHidden/>
    <w:unhideWhenUsed/>
    <w:uiPriority w:val="99"/>
    <w:pPr>
      <w:spacing w:before="0" w:beforeAutospacing="1" w:after="0" w:afterAutospacing="1"/>
      <w:ind w:left="0" w:right="0"/>
      <w:jc w:val="left"/>
    </w:pPr>
    <w:rPr>
      <w:kern w:val="0"/>
      <w:sz w:val="24"/>
      <w:szCs w:val="24"/>
      <w:lang w:val="en-US" w:eastAsia="zh-CN" w:bidi="ar"/>
    </w:rPr>
  </w:style>
  <w:style w:type="character" w:styleId="6">
    <w:name w:val="Hyperlink"/>
    <w:basedOn w:val="5"/>
    <w:unhideWhenUsed/>
    <w:uiPriority w:val="99"/>
    <w:rPr>
      <w:color w:val="0563C1" w:themeColor="hyperlink"/>
      <w:u w:val="single"/>
      <w14:textFill>
        <w14:solidFill>
          <w14:schemeClr w14:val="hlink"/>
        </w14:solidFill>
      </w14:textFill>
    </w:rPr>
  </w:style>
  <w:style w:type="character" w:customStyle="1" w:styleId="8">
    <w:name w:val="Header Char"/>
    <w:basedOn w:val="5"/>
    <w:link w:val="3"/>
    <w:qFormat/>
    <w:uiPriority w:val="99"/>
  </w:style>
  <w:style w:type="character" w:customStyle="1" w:styleId="9">
    <w:name w:val="Footer Char"/>
    <w:basedOn w:val="5"/>
    <w:link w:val="2"/>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1381</Words>
  <Characters>7872</Characters>
  <Lines>65</Lines>
  <Paragraphs>18</Paragraphs>
  <TotalTime>3</TotalTime>
  <ScaleCrop>false</ScaleCrop>
  <LinksUpToDate>false</LinksUpToDate>
  <CharactersWithSpaces>9235</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2018-09-09T14:59:00Z</dcterms:created>
  <dc:creator>HP</dc:creator>
  <cp:lastModifiedBy>Administrator</cp:lastModifiedBy>
  <dcterms:modified xsi:type="dcterms:W3CDTF">2018-09-11T02:19:08Z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